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C3AD7B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228E2D9"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w:t>
      </w:r>
      <w:r w:rsidR="00912E12">
        <w:rPr>
          <w:b w:val="0"/>
          <w:bCs/>
          <w:color w:val="auto"/>
          <w:sz w:val="24"/>
          <w:szCs w:val="24"/>
        </w:rPr>
        <w:t>2022-2</w:t>
      </w:r>
      <w:r w:rsidR="00AC2323">
        <w:rPr>
          <w:b w:val="0"/>
          <w:bCs/>
          <w:color w:val="auto"/>
          <w:sz w:val="24"/>
          <w:szCs w:val="24"/>
        </w:rPr>
        <w:t>5</w:t>
      </w:r>
      <w:bookmarkStart w:id="14" w:name="_GoBack"/>
      <w:bookmarkEnd w:id="14"/>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1C2CC03" w:rsidR="00E66558" w:rsidRDefault="00A95CAB">
            <w:pPr>
              <w:pStyle w:val="TableRow"/>
            </w:pPr>
            <w:r>
              <w:t>Leavening Community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E376B80" w:rsidR="00E66558" w:rsidRDefault="00A95CAB">
            <w:pPr>
              <w:pStyle w:val="TableRow"/>
            </w:pPr>
            <w:r>
              <w:t>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896DEB0" w:rsidR="00E66558" w:rsidRDefault="00A95CAB">
            <w:pPr>
              <w:pStyle w:val="TableRow"/>
            </w:pPr>
            <w:r>
              <w:t>10.4%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919FDBA" w:rsidR="00E66558" w:rsidRDefault="00A95CAB">
            <w:pPr>
              <w:pStyle w:val="TableRow"/>
            </w:pPr>
            <w:r>
              <w:t>202</w:t>
            </w:r>
            <w:r w:rsidR="00AC2323">
              <w:t>2</w:t>
            </w:r>
            <w:r>
              <w:t>-202</w:t>
            </w:r>
            <w:r w:rsidR="00AC2323">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F3D68E8" w:rsidR="00E66558" w:rsidRDefault="00A95CAB">
            <w:pPr>
              <w:pStyle w:val="TableRow"/>
            </w:pPr>
            <w:r>
              <w:t>September 202</w:t>
            </w:r>
            <w:r w:rsidR="00AC2323">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39F501D" w:rsidR="00E66558" w:rsidRDefault="00A95CAB">
            <w:pPr>
              <w:pStyle w:val="TableRow"/>
            </w:pPr>
            <w:r>
              <w:t>September 202</w:t>
            </w:r>
            <w:r w:rsidR="00AC2323">
              <w:t>5</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B716206" w:rsidR="00E66558" w:rsidRDefault="00A95CAB">
            <w:pPr>
              <w:pStyle w:val="TableRow"/>
            </w:pPr>
            <w:r>
              <w:t>Sian Mitchell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584B3CD" w:rsidR="00E66558" w:rsidRDefault="00A95CAB">
            <w:pPr>
              <w:pStyle w:val="TableRow"/>
            </w:pPr>
            <w:r>
              <w:t>Sian Mitchell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16752F4" w:rsidR="00E66558" w:rsidRDefault="00A95CAB">
            <w:pPr>
              <w:pStyle w:val="TableRow"/>
            </w:pPr>
            <w:r>
              <w:t xml:space="preserve">Neil </w:t>
            </w:r>
            <w:proofErr w:type="spellStart"/>
            <w:r>
              <w:t>Audsley</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921B2D" w:rsidR="00E66558" w:rsidRDefault="009D71E8">
            <w:pPr>
              <w:pStyle w:val="TableRow"/>
            </w:pPr>
            <w:r>
              <w:t>£</w:t>
            </w:r>
            <w:r w:rsidR="00A95CAB">
              <w:t>7725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3B025FE" w:rsidR="00E66558" w:rsidRDefault="009D71E8">
            <w:pPr>
              <w:pStyle w:val="TableRow"/>
            </w:pPr>
            <w:r>
              <w:t>£</w:t>
            </w:r>
            <w:r w:rsidR="00A95CAB">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7AE5978" w:rsidR="00E66558" w:rsidRDefault="009D71E8">
            <w:pPr>
              <w:pStyle w:val="TableRow"/>
            </w:pPr>
            <w:r>
              <w:t>£</w:t>
            </w:r>
            <w:r w:rsidR="00A95CA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7429FAAD" w:rsidR="00E66558" w:rsidRPr="00A95CAB" w:rsidRDefault="009D71E8" w:rsidP="00A95CAB">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FBEE569" w:rsidR="00E66558" w:rsidRDefault="009D71E8">
            <w:pPr>
              <w:pStyle w:val="TableRow"/>
            </w:pPr>
            <w:r>
              <w:t>£</w:t>
            </w:r>
            <w:r w:rsidR="00A95CAB">
              <w:rPr>
                <w:rFonts w:cs="Arial"/>
                <w:bdr w:val="none" w:sz="0" w:space="0" w:color="auto" w:frame="1"/>
                <w:shd w:val="clear" w:color="auto" w:fill="FFFFFF"/>
              </w:rPr>
              <w:t> </w:t>
            </w:r>
            <w:r w:rsidR="00A95CAB">
              <w:rPr>
                <w:rFonts w:cs="Arial"/>
                <w:color w:val="1F497D"/>
                <w:bdr w:val="none" w:sz="0" w:space="0" w:color="auto" w:frame="1"/>
                <w:shd w:val="clear" w:color="auto" w:fill="FFFFFF"/>
              </w:rPr>
              <w:t>9725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B6F62" w14:textId="661C2498" w:rsidR="00A95CAB" w:rsidRPr="00E27862" w:rsidRDefault="00A95CAB" w:rsidP="00A95CAB">
            <w:pPr>
              <w:spacing w:before="120"/>
              <w:rPr>
                <w:rFonts w:cs="Arial"/>
                <w:iCs/>
                <w:color w:val="auto"/>
                <w:lang w:val="en-US"/>
              </w:rPr>
            </w:pPr>
            <w:r w:rsidRPr="00E27862">
              <w:rPr>
                <w:rFonts w:cs="Arial"/>
                <w:iCs/>
                <w:color w:val="auto"/>
              </w:rPr>
              <w:t xml:space="preserve">Our intention is that all </w:t>
            </w:r>
            <w:r w:rsidR="002D7327">
              <w:rPr>
                <w:rFonts w:cs="Arial"/>
                <w:iCs/>
                <w:color w:val="auto"/>
              </w:rPr>
              <w:t xml:space="preserve">of our </w:t>
            </w:r>
            <w:r w:rsidRPr="00E27862">
              <w:rPr>
                <w:rFonts w:cs="Arial"/>
                <w:iCs/>
                <w:color w:val="auto"/>
              </w:rPr>
              <w:t>pupils</w:t>
            </w:r>
            <w:r w:rsidR="002D7327">
              <w:rPr>
                <w:rFonts w:cs="Arial"/>
                <w:iCs/>
                <w:color w:val="auto"/>
              </w:rPr>
              <w:t xml:space="preserve"> </w:t>
            </w:r>
            <w:r w:rsidRPr="00E27862">
              <w:rPr>
                <w:rFonts w:cs="Arial"/>
                <w:iCs/>
                <w:color w:val="auto"/>
              </w:rPr>
              <w:t xml:space="preserve">make good progress and </w:t>
            </w:r>
            <w:r w:rsidR="00670324">
              <w:rPr>
                <w:rFonts w:cs="Arial"/>
                <w:iCs/>
                <w:color w:val="auto"/>
              </w:rPr>
              <w:t>have high aspirations of themselves and achieve their potential,</w:t>
            </w:r>
            <w:r w:rsidRPr="00E27862">
              <w:rPr>
                <w:rFonts w:cs="Arial"/>
                <w:iCs/>
                <w:color w:val="auto"/>
              </w:rPr>
              <w:t xml:space="preserve">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12333891" w14:textId="77777777" w:rsidR="00A95CAB" w:rsidRPr="00E27862" w:rsidRDefault="00A95CAB" w:rsidP="00A95CAB">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520DD5A9" w14:textId="77777777" w:rsidR="00A95CAB" w:rsidRPr="00E27862" w:rsidRDefault="00A95CAB" w:rsidP="00A95CAB">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77CA9D11" w14:textId="77777777" w:rsidR="00A95CAB" w:rsidRPr="00E27862" w:rsidRDefault="00A95CAB" w:rsidP="00A95CAB">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32F88BDD" w14:textId="77777777" w:rsidR="00A95CAB" w:rsidRPr="00E27862" w:rsidRDefault="00A95CAB" w:rsidP="00A95CAB">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041A6C57" w14:textId="77777777" w:rsidR="00A95CAB" w:rsidRPr="00E27862" w:rsidRDefault="00A95CAB" w:rsidP="00A95CAB">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04BAEAEC" w:rsidR="00E66558" w:rsidRPr="00670324" w:rsidRDefault="00A95CAB" w:rsidP="00670324">
            <w:pPr>
              <w:pStyle w:val="ListParagraph"/>
              <w:numPr>
                <w:ilvl w:val="0"/>
                <w:numId w:val="14"/>
              </w:numPr>
              <w:rPr>
                <w:i/>
                <w:iCs/>
              </w:rPr>
            </w:pPr>
            <w:r w:rsidRPr="00670324">
              <w:rPr>
                <w:rFonts w:cs="Arial"/>
                <w:color w:val="auto"/>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670324" w14:paraId="2A7D54F2" w14:textId="77777777" w:rsidTr="00081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670324" w:rsidRDefault="00670324" w:rsidP="00670324">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7DE70" w14:textId="77777777" w:rsidR="00670324" w:rsidRPr="00E27862" w:rsidRDefault="00670324" w:rsidP="00670324">
            <w:pPr>
              <w:suppressAutoHyphens w:val="0"/>
              <w:autoSpaceDN/>
              <w:spacing w:before="60" w:after="120" w:line="240" w:lineRule="auto"/>
              <w:ind w:left="57" w:right="57"/>
              <w:rPr>
                <w:rFonts w:cs="Arial"/>
                <w:color w:val="auto"/>
              </w:rPr>
            </w:pPr>
            <w:r w:rsidRPr="00E27862">
              <w:rPr>
                <w:rFonts w:cs="Arial"/>
                <w:iCs/>
                <w:color w:val="auto"/>
              </w:rPr>
              <w:t>Our assessments and observations indicate that the education and wellbeing of m</w:t>
            </w:r>
            <w:r w:rsidRPr="00E27862">
              <w:rPr>
                <w:rFonts w:cs="Arial"/>
                <w:color w:val="auto"/>
              </w:rPr>
              <w:t xml:space="preserve">any of our disadvantaged pupils have been impacted by partial school closures to a greater extent than for other pupils. These findings are supported by national studies. </w:t>
            </w:r>
          </w:p>
          <w:p w14:paraId="2A7D54F1" w14:textId="710D1CFE" w:rsidR="00670324" w:rsidRDefault="00670324" w:rsidP="00670324">
            <w:pPr>
              <w:pStyle w:val="TableRowCentered"/>
              <w:jc w:val="left"/>
            </w:pPr>
            <w:r w:rsidRPr="00E27862">
              <w:rPr>
                <w:rFonts w:cs="Arial"/>
                <w:color w:val="auto"/>
              </w:rPr>
              <w:lastRenderedPageBreak/>
              <w:t>This has resulted in significant knowledge gaps leading to pupils falling further behind age-related expectations, especially in maths.</w:t>
            </w:r>
          </w:p>
        </w:tc>
      </w:tr>
      <w:tr w:rsidR="00670324" w14:paraId="2A7D54F5" w14:textId="77777777" w:rsidTr="00081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670324" w:rsidRDefault="00670324" w:rsidP="00670324">
            <w:pPr>
              <w:pStyle w:val="TableRow"/>
              <w:rPr>
                <w:sz w:val="22"/>
                <w:szCs w:val="22"/>
              </w:rPr>
            </w:pPr>
            <w:r>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E1FDB" w14:textId="3FF0834E" w:rsidR="00670324" w:rsidRPr="00E27862" w:rsidRDefault="00670324" w:rsidP="00670324">
            <w:pPr>
              <w:suppressAutoHyphens w:val="0"/>
              <w:autoSpaceDN/>
              <w:spacing w:before="60" w:line="240" w:lineRule="auto"/>
              <w:ind w:left="57" w:right="57"/>
              <w:rPr>
                <w:rFonts w:cs="Arial"/>
                <w:iCs/>
                <w:color w:val="auto"/>
                <w:lang w:val="en-US"/>
              </w:rPr>
            </w:pPr>
            <w:r w:rsidRPr="00E27862">
              <w:rPr>
                <w:rFonts w:cs="Arial"/>
                <w:iCs/>
                <w:color w:val="auto"/>
                <w:lang w:val="en-US"/>
              </w:rPr>
              <w:t>Our assessments (including wellbeing survey), observations and discussions with pupils and families have identified social and emotional issues for many pupils</w:t>
            </w:r>
            <w:r>
              <w:rPr>
                <w:rFonts w:cs="Arial"/>
                <w:iCs/>
                <w:color w:val="auto"/>
                <w:lang w:val="en-US"/>
              </w:rPr>
              <w:t xml:space="preserve">. </w:t>
            </w:r>
            <w:r w:rsidRPr="00E27862">
              <w:rPr>
                <w:rFonts w:cs="Arial"/>
                <w:iCs/>
                <w:color w:val="auto"/>
                <w:lang w:val="en-US"/>
              </w:rPr>
              <w:t>These challenges particularly affect disadvantaged pupils, including their attainment.</w:t>
            </w:r>
          </w:p>
          <w:p w14:paraId="2A7D54F4" w14:textId="6FB9DA88" w:rsidR="00670324" w:rsidRDefault="00670324" w:rsidP="00670324">
            <w:pPr>
              <w:pStyle w:val="TableRowCentered"/>
              <w:jc w:val="left"/>
              <w:rPr>
                <w:sz w:val="22"/>
                <w:szCs w:val="22"/>
              </w:rPr>
            </w:pPr>
            <w:r w:rsidRPr="00E27862">
              <w:rPr>
                <w:rFonts w:cs="Arial"/>
                <w:color w:val="auto"/>
                <w:lang w:eastAsia="en-US"/>
              </w:rPr>
              <w:t xml:space="preserve">Teacher referrals for support have markedly increased during the pandemic. </w:t>
            </w:r>
            <w:r>
              <w:rPr>
                <w:rFonts w:cs="Arial"/>
                <w:color w:val="auto"/>
                <w:lang w:eastAsia="en-US"/>
              </w:rPr>
              <w:t>27%</w:t>
            </w:r>
            <w:r w:rsidRPr="00E27862">
              <w:rPr>
                <w:rFonts w:cs="Arial"/>
                <w:color w:val="auto"/>
                <w:lang w:eastAsia="en-US"/>
              </w:rPr>
              <w:t xml:space="preserve"> pupils (</w:t>
            </w:r>
            <w:r>
              <w:rPr>
                <w:rFonts w:cs="Arial"/>
                <w:color w:val="auto"/>
                <w:lang w:eastAsia="en-US"/>
              </w:rPr>
              <w:t>9%</w:t>
            </w:r>
            <w:r w:rsidRPr="00E27862">
              <w:rPr>
                <w:rFonts w:cs="Arial"/>
                <w:color w:val="auto"/>
                <w:lang w:eastAsia="en-US"/>
              </w:rPr>
              <w:t xml:space="preserve"> of whom are disadvantaged) currently require additional support with social and emotional needs</w:t>
            </w:r>
            <w:r>
              <w:rPr>
                <w:rFonts w:cs="Arial"/>
                <w:color w:val="auto"/>
                <w:lang w:eastAsia="en-US"/>
              </w:rPr>
              <w:t xml:space="preserve"> and are </w:t>
            </w:r>
            <w:r w:rsidRPr="00E27862">
              <w:rPr>
                <w:rFonts w:cs="Arial"/>
                <w:color w:val="auto"/>
                <w:lang w:eastAsia="en-US"/>
              </w:rPr>
              <w:t>receiving small group interventions.</w:t>
            </w:r>
          </w:p>
        </w:tc>
      </w:tr>
      <w:tr w:rsidR="00670324" w14:paraId="2A7D54F8" w14:textId="77777777" w:rsidTr="00081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670324" w:rsidRDefault="00670324" w:rsidP="00670324">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2EF84E" w14:textId="1D7DC473" w:rsidR="00670324" w:rsidRPr="00E27862" w:rsidRDefault="00670324" w:rsidP="00670324">
            <w:pPr>
              <w:suppressAutoHyphens w:val="0"/>
              <w:autoSpaceDN/>
              <w:spacing w:before="60" w:after="120" w:line="240" w:lineRule="auto"/>
              <w:ind w:left="57" w:right="57"/>
              <w:rPr>
                <w:rFonts w:cs="Arial"/>
                <w:iCs/>
                <w:color w:val="auto"/>
                <w:lang w:val="en-US"/>
              </w:rPr>
            </w:pPr>
            <w:r w:rsidRPr="00E27862">
              <w:rPr>
                <w:rFonts w:cs="Arial"/>
                <w:iCs/>
                <w:color w:val="auto"/>
                <w:lang w:val="en-US"/>
              </w:rPr>
              <w:t xml:space="preserve">Our attendance data over the last </w:t>
            </w:r>
            <w:r>
              <w:rPr>
                <w:rFonts w:cs="Arial"/>
                <w:iCs/>
                <w:color w:val="auto"/>
                <w:lang w:val="en-US"/>
              </w:rPr>
              <w:t>1</w:t>
            </w:r>
            <w:r w:rsidRPr="00E27862">
              <w:rPr>
                <w:rFonts w:cs="Arial"/>
                <w:iCs/>
                <w:color w:val="auto"/>
                <w:lang w:val="en-US"/>
              </w:rPr>
              <w:t xml:space="preserve"> year indicates that attendance among disadvantaged pupils has been lower than for non-disadvantaged pupils.</w:t>
            </w:r>
          </w:p>
          <w:p w14:paraId="2A7D54F7" w14:textId="02BCBBD0" w:rsidR="00670324" w:rsidRDefault="00670324" w:rsidP="00670324">
            <w:pPr>
              <w:pStyle w:val="TableRowCentered"/>
              <w:jc w:val="left"/>
              <w:rPr>
                <w:sz w:val="22"/>
                <w:szCs w:val="22"/>
              </w:rPr>
            </w:pPr>
            <w:r>
              <w:rPr>
                <w:rFonts w:cs="Arial"/>
                <w:iCs/>
                <w:color w:val="auto"/>
                <w:lang w:val="en-US"/>
              </w:rPr>
              <w:t>25</w:t>
            </w:r>
            <w:r w:rsidRPr="00E27862">
              <w:rPr>
                <w:rFonts w:cs="Arial"/>
                <w:iCs/>
                <w:color w:val="auto"/>
                <w:lang w:val="en-US"/>
              </w:rPr>
              <w:t xml:space="preserve">% of disadvantaged pupils have been ‘persistently absent’ compared to </w:t>
            </w:r>
            <w:r>
              <w:rPr>
                <w:rFonts w:cs="Arial"/>
                <w:iCs/>
                <w:color w:val="auto"/>
                <w:lang w:val="en-US"/>
              </w:rPr>
              <w:t>16</w:t>
            </w:r>
            <w:r w:rsidRPr="00E27862">
              <w:rPr>
                <w:rFonts w:cs="Arial"/>
                <w:iCs/>
                <w:color w:val="auto"/>
                <w:lang w:val="en-US"/>
              </w:rPr>
              <w:t>% of their peers during that period. Our assessments and observations indicate that absenteeism is negatively impacting disadvantaged pupils’ progress.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1102EC"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777777" w:rsidR="00E66558" w:rsidRDefault="00E66558">
            <w:pPr>
              <w:pStyle w:val="TableRowCentered"/>
              <w:jc w:val="left"/>
              <w:rPr>
                <w:sz w:val="22"/>
                <w:szCs w:val="22"/>
              </w:rPr>
            </w:pPr>
          </w:p>
        </w:tc>
      </w:tr>
      <w:tr w:rsidR="0067032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7210C2D" w:rsidR="00670324" w:rsidRDefault="00670324" w:rsidP="00670324">
            <w:pPr>
              <w:pStyle w:val="TableRow"/>
              <w:rPr>
                <w:sz w:val="22"/>
                <w:szCs w:val="22"/>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9DCD625" w:rsidR="00670324" w:rsidRDefault="00670324" w:rsidP="00670324">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67032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80FFAF8" w:rsidR="00670324" w:rsidRDefault="00670324" w:rsidP="00670324">
            <w:pPr>
              <w:pStyle w:val="TableRow"/>
              <w:rPr>
                <w:sz w:val="22"/>
                <w:szCs w:val="22"/>
              </w:rPr>
            </w:pPr>
            <w:r w:rsidRPr="00E27862">
              <w:rPr>
                <w:rFonts w:cs="Arial"/>
                <w:color w:val="auto"/>
              </w:rPr>
              <w:t xml:space="preserve">Improved reading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5A30D48" w:rsidR="00670324" w:rsidRDefault="00670324" w:rsidP="00670324">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Pr>
                <w:rFonts w:cs="Arial"/>
                <w:color w:val="auto"/>
                <w:lang w:eastAsia="en-US"/>
              </w:rPr>
              <w:t>60</w:t>
            </w:r>
            <w:r w:rsidRPr="00E27862">
              <w:rPr>
                <w:rFonts w:cs="Arial"/>
                <w:color w:val="auto"/>
                <w:lang w:eastAsia="en-US"/>
              </w:rPr>
              <w:t>% of disadvantaged pupils met the expected standard.</w:t>
            </w:r>
          </w:p>
        </w:tc>
      </w:tr>
      <w:tr w:rsidR="0067032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F49DF3A" w:rsidR="00670324" w:rsidRDefault="00670324" w:rsidP="00670324">
            <w:pPr>
              <w:pStyle w:val="TableRow"/>
              <w:rPr>
                <w:sz w:val="22"/>
                <w:szCs w:val="22"/>
              </w:rPr>
            </w:pPr>
            <w:r w:rsidRPr="00E27862">
              <w:rPr>
                <w:rFonts w:cs="Arial"/>
                <w:color w:val="auto"/>
              </w:rPr>
              <w:t xml:space="preserve">Improved maths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9EEB" w14:textId="3A6611C8" w:rsidR="00670324" w:rsidRPr="00E27862" w:rsidRDefault="00670324" w:rsidP="00670324">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show that </w:t>
            </w:r>
            <w:r w:rsidRPr="00E27862">
              <w:rPr>
                <w:rStyle w:val="CommentReference"/>
                <w:color w:val="auto"/>
              </w:rPr>
              <w:t xml:space="preserve">more than </w:t>
            </w:r>
            <w:r>
              <w:rPr>
                <w:rStyle w:val="CommentReference"/>
                <w:color w:val="auto"/>
              </w:rPr>
              <w:t>60</w:t>
            </w:r>
            <w:r w:rsidRPr="00E27862">
              <w:rPr>
                <w:rStyle w:val="CommentReference"/>
                <w:color w:val="auto"/>
              </w:rPr>
              <w:t>% of disadvantaged pupils met the expected standard.</w:t>
            </w:r>
          </w:p>
          <w:p w14:paraId="2A7D550E" w14:textId="77777777" w:rsidR="00670324" w:rsidRDefault="00670324" w:rsidP="00670324">
            <w:pPr>
              <w:pStyle w:val="TableRowCentered"/>
              <w:jc w:val="left"/>
              <w:rPr>
                <w:sz w:val="22"/>
                <w:szCs w:val="22"/>
              </w:rPr>
            </w:pPr>
          </w:p>
        </w:tc>
      </w:tr>
      <w:tr w:rsidR="00670324" w14:paraId="26C2C5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D272D" w14:textId="191E9710" w:rsidR="00670324" w:rsidRPr="00E27862" w:rsidRDefault="00670324" w:rsidP="00670324">
            <w:pPr>
              <w:pStyle w:val="TableRow"/>
              <w:rPr>
                <w:rFonts w:cs="Arial"/>
                <w:color w:val="auto"/>
              </w:rPr>
            </w:pPr>
            <w:r w:rsidRPr="00E27862">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60E10" w14:textId="77777777" w:rsidR="00670324" w:rsidRPr="00E27862" w:rsidRDefault="00670324" w:rsidP="00670324">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28A66011" w14:textId="77777777" w:rsidR="00670324" w:rsidRPr="00E27862" w:rsidRDefault="00670324" w:rsidP="00670324">
            <w:pPr>
              <w:pStyle w:val="ListParagraph"/>
              <w:numPr>
                <w:ilvl w:val="0"/>
                <w:numId w:val="15"/>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11C0475E" w14:textId="77777777" w:rsidR="00670324" w:rsidRPr="00E27862" w:rsidRDefault="00670324" w:rsidP="00670324">
            <w:pPr>
              <w:pStyle w:val="ListParagraph"/>
              <w:numPr>
                <w:ilvl w:val="0"/>
                <w:numId w:val="15"/>
              </w:numPr>
              <w:suppressAutoHyphens w:val="0"/>
              <w:autoSpaceDN/>
              <w:spacing w:before="60" w:after="120" w:line="240" w:lineRule="auto"/>
              <w:ind w:right="57" w:hanging="357"/>
              <w:contextualSpacing w:val="0"/>
              <w:rPr>
                <w:rFonts w:cs="Arial"/>
                <w:color w:val="auto"/>
              </w:rPr>
            </w:pPr>
            <w:r w:rsidRPr="00E27862">
              <w:rPr>
                <w:rFonts w:cs="Arial"/>
                <w:color w:val="auto"/>
              </w:rPr>
              <w:lastRenderedPageBreak/>
              <w:t>a significant reduction in bullying</w:t>
            </w:r>
          </w:p>
          <w:p w14:paraId="2B34E1AF" w14:textId="187E96CD" w:rsidR="00670324" w:rsidRPr="00E27862" w:rsidRDefault="00670324" w:rsidP="00670324">
            <w:pPr>
              <w:pStyle w:val="TableRowCentered"/>
              <w:spacing w:after="120"/>
              <w:jc w:val="left"/>
              <w:rPr>
                <w:rFonts w:cs="Arial"/>
                <w:color w:val="auto"/>
              </w:rPr>
            </w:pPr>
            <w:r w:rsidRPr="00E27862">
              <w:rPr>
                <w:rFonts w:cs="Arial"/>
                <w:color w:val="auto"/>
              </w:rPr>
              <w:t xml:space="preserve">a significant increase in participation in enrichment activities, particularly among disadvantaged pupils    </w:t>
            </w:r>
          </w:p>
        </w:tc>
      </w:tr>
      <w:tr w:rsidR="00670324" w14:paraId="5806A16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8389C" w14:textId="116B505A" w:rsidR="00670324" w:rsidRPr="00E27862" w:rsidRDefault="00670324" w:rsidP="00670324">
            <w:pPr>
              <w:pStyle w:val="TableRow"/>
              <w:rPr>
                <w:rFonts w:cs="Arial"/>
                <w:color w:val="auto"/>
              </w:rPr>
            </w:pPr>
            <w:r w:rsidRPr="00E27862">
              <w:rPr>
                <w:rFonts w:cs="Arial"/>
                <w:color w:val="auto"/>
              </w:rPr>
              <w:lastRenderedPageBreak/>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554D" w14:textId="77777777" w:rsidR="00670324" w:rsidRPr="00E27862" w:rsidRDefault="00670324" w:rsidP="00670324">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7133452F" w14:textId="6C9516B2" w:rsidR="00670324" w:rsidRPr="00E27862" w:rsidRDefault="00670324" w:rsidP="00670324">
            <w:pPr>
              <w:pStyle w:val="ListParagraph"/>
              <w:numPr>
                <w:ilvl w:val="0"/>
                <w:numId w:val="16"/>
              </w:numPr>
              <w:suppressAutoHyphens w:val="0"/>
              <w:autoSpaceDN/>
              <w:spacing w:before="60" w:after="60" w:line="240" w:lineRule="auto"/>
              <w:ind w:right="57"/>
              <w:rPr>
                <w:rFonts w:cs="Arial"/>
                <w:color w:val="auto"/>
              </w:rPr>
            </w:pPr>
            <w:r w:rsidRPr="00E27862">
              <w:rPr>
                <w:rFonts w:cs="Arial"/>
                <w:color w:val="auto"/>
              </w:rPr>
              <w:t xml:space="preserve">the overall absence rate for all pupils being no more than </w:t>
            </w:r>
            <w:r w:rsidR="0040383A">
              <w:rPr>
                <w:rFonts w:cs="Arial"/>
                <w:color w:val="auto"/>
              </w:rPr>
              <w:t>94</w:t>
            </w:r>
            <w:r w:rsidRPr="00E27862">
              <w:rPr>
                <w:rFonts w:cs="Arial"/>
                <w:color w:val="auto"/>
              </w:rPr>
              <w:t>%, and the attendance gap between disadvantaged pupils and their non-disadvantaged peers being reduced</w:t>
            </w:r>
            <w:r w:rsidR="0040383A">
              <w:rPr>
                <w:rFonts w:cs="Arial"/>
                <w:color w:val="auto"/>
              </w:rPr>
              <w:t>.</w:t>
            </w:r>
          </w:p>
          <w:p w14:paraId="31B06B06" w14:textId="784BA5E1" w:rsidR="00670324" w:rsidRPr="00E27862" w:rsidRDefault="00670324" w:rsidP="00670324">
            <w:pPr>
              <w:suppressAutoHyphens w:val="0"/>
              <w:autoSpaceDN/>
              <w:spacing w:before="60" w:after="60" w:line="240" w:lineRule="auto"/>
              <w:ind w:left="34" w:right="57"/>
              <w:rPr>
                <w:rFonts w:cs="Arial"/>
                <w:color w:val="auto"/>
              </w:rPr>
            </w:pPr>
            <w:r w:rsidRPr="00E27862">
              <w:rPr>
                <w:rFonts w:cs="Arial"/>
                <w:color w:val="auto"/>
              </w:rPr>
              <w:t xml:space="preserve">the percentage of all pupils who are persistently absent being below </w:t>
            </w:r>
            <w:r w:rsidR="0040383A">
              <w:rPr>
                <w:rFonts w:cs="Arial"/>
                <w:color w:val="auto"/>
              </w:rPr>
              <w:t>10</w:t>
            </w:r>
            <w:r w:rsidRPr="00E27862">
              <w:rPr>
                <w:rFonts w:cs="Arial"/>
                <w:color w:val="auto"/>
              </w:rPr>
              <w:t>% and the figure among disadvantaged pupils being no lower than their peers.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88B4CFE" w:rsidR="00E66558" w:rsidRDefault="009D71E8">
      <w:pPr>
        <w:rPr>
          <w:i/>
          <w:iCs/>
        </w:rPr>
      </w:pPr>
      <w:r>
        <w:t xml:space="preserve">Budgeted cost: £ </w:t>
      </w:r>
      <w:r w:rsidR="0040383A">
        <w:t>7,725</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40383A" w:rsidRPr="0040383A" w14:paraId="68356353" w14:textId="77777777" w:rsidTr="003D771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DAEE0F" w14:textId="5253BFAC" w:rsidR="0040383A" w:rsidRPr="0040383A" w:rsidRDefault="0040383A" w:rsidP="0040383A">
            <w:pPr>
              <w:suppressAutoHyphens w:val="0"/>
              <w:autoSpaceDN/>
              <w:spacing w:before="60" w:after="120" w:line="240" w:lineRule="auto"/>
              <w:ind w:left="29" w:right="57"/>
              <w:rPr>
                <w:rFonts w:cs="Arial"/>
                <w:iCs/>
                <w:color w:val="auto"/>
              </w:rPr>
            </w:pPr>
            <w:r w:rsidRPr="0040383A">
              <w:rPr>
                <w:rFonts w:cs="Arial"/>
                <w:iCs/>
                <w:color w:val="auto"/>
              </w:rPr>
              <w:t xml:space="preserve">Purchase of </w:t>
            </w:r>
            <w:r w:rsidR="00F30A94">
              <w:rPr>
                <w:rFonts w:cs="Arial"/>
                <w:iCs/>
                <w:color w:val="auto"/>
              </w:rPr>
              <w:t>the reading fluency books to use across Year 1 to Year 3 to further enhance reading.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B7BCF" w14:textId="77777777" w:rsidR="0040383A" w:rsidRPr="0040383A" w:rsidRDefault="0040383A" w:rsidP="0040383A">
            <w:pPr>
              <w:spacing w:before="60" w:after="60" w:line="240" w:lineRule="auto"/>
              <w:ind w:left="57" w:right="57"/>
              <w:rPr>
                <w:rFonts w:cs="Arial"/>
                <w:color w:val="auto"/>
              </w:rPr>
            </w:pPr>
            <w:r w:rsidRPr="0040383A">
              <w:rPr>
                <w:rFonts w:cs="Arial"/>
                <w:color w:val="auto"/>
              </w:rPr>
              <w:t xml:space="preserve">Phonics approaches have a strong evidence base that indicates a positive impact on the accuracy of word reading (though not necessarily comprehension), particularly for disadvantaged pupils: </w:t>
            </w:r>
          </w:p>
          <w:p w14:paraId="49F97D2E" w14:textId="77777777" w:rsidR="0040383A" w:rsidRPr="0040383A" w:rsidRDefault="00AC2323" w:rsidP="0040383A">
            <w:pPr>
              <w:spacing w:before="60" w:after="120" w:line="240" w:lineRule="auto"/>
              <w:ind w:left="57" w:right="57"/>
              <w:rPr>
                <w:rFonts w:cs="Arial"/>
                <w:color w:val="auto"/>
              </w:rPr>
            </w:pPr>
            <w:hyperlink r:id="rId7" w:history="1">
              <w:r w:rsidR="0040383A" w:rsidRPr="0040383A">
                <w:rPr>
                  <w:color w:val="0070C0"/>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442468" w14:textId="77777777" w:rsidR="0040383A" w:rsidRPr="0040383A" w:rsidRDefault="0040383A" w:rsidP="0040383A">
            <w:pPr>
              <w:spacing w:before="60" w:after="60" w:line="240" w:lineRule="auto"/>
              <w:ind w:left="57" w:right="57"/>
              <w:rPr>
                <w:color w:val="auto"/>
              </w:rPr>
            </w:pPr>
            <w:r w:rsidRPr="0040383A">
              <w:rPr>
                <w:color w:val="auto"/>
              </w:rPr>
              <w:t>2</w:t>
            </w:r>
          </w:p>
        </w:tc>
      </w:tr>
      <w:tr w:rsidR="0040383A" w:rsidRPr="0040383A" w14:paraId="141013C2" w14:textId="77777777" w:rsidTr="003D771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30542C" w14:textId="77777777" w:rsidR="0040383A" w:rsidRPr="0040383A" w:rsidRDefault="0040383A" w:rsidP="0040383A">
            <w:pPr>
              <w:spacing w:before="60" w:after="120" w:line="240" w:lineRule="auto"/>
              <w:ind w:left="28" w:right="57"/>
              <w:rPr>
                <w:rFonts w:cs="Arial"/>
                <w:color w:val="auto"/>
              </w:rPr>
            </w:pPr>
            <w:r w:rsidRPr="0040383A">
              <w:rPr>
                <w:color w:val="auto"/>
              </w:rPr>
              <w:t>Enhancement of our maths teaching and curriculum planning in line with DfE and EEF guidance.</w:t>
            </w:r>
          </w:p>
          <w:p w14:paraId="501A17D7" w14:textId="77777777" w:rsidR="0040383A" w:rsidRPr="0040383A" w:rsidRDefault="0040383A" w:rsidP="0040383A">
            <w:pPr>
              <w:suppressAutoHyphens w:val="0"/>
              <w:autoSpaceDN/>
              <w:spacing w:before="60" w:after="120" w:line="240" w:lineRule="auto"/>
              <w:ind w:left="28" w:right="57"/>
              <w:rPr>
                <w:rFonts w:cs="Arial"/>
                <w:iCs/>
                <w:color w:val="auto"/>
              </w:rPr>
            </w:pPr>
            <w:r w:rsidRPr="0040383A">
              <w:rPr>
                <w:color w:val="auto"/>
              </w:rPr>
              <w:t>We will fund teacher release time to embed key elements of guidance in school and to access Maths Hub resources and CPD (including 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11769D" w14:textId="77777777" w:rsidR="0040383A" w:rsidRPr="0040383A" w:rsidRDefault="0040383A" w:rsidP="0040383A">
            <w:pPr>
              <w:suppressAutoHyphens w:val="0"/>
              <w:autoSpaceDN/>
              <w:spacing w:before="60" w:after="60" w:line="240" w:lineRule="auto"/>
              <w:ind w:left="57" w:right="57"/>
              <w:rPr>
                <w:rFonts w:cs="Arial"/>
                <w:iCs/>
                <w:color w:val="auto"/>
              </w:rPr>
            </w:pPr>
            <w:r w:rsidRPr="0040383A">
              <w:rPr>
                <w:rFonts w:cs="Arial"/>
                <w:iCs/>
                <w:color w:val="auto"/>
              </w:rPr>
              <w:t xml:space="preserve">The DfE non-statutory guidance has been produced in conjunction with the National Centre for Excellence in the Teaching of Mathematics, drawing on evidence-based approaches: </w:t>
            </w:r>
          </w:p>
          <w:p w14:paraId="7D0020E6" w14:textId="77777777" w:rsidR="0040383A" w:rsidRPr="0040383A" w:rsidRDefault="00AC2323" w:rsidP="0040383A">
            <w:pPr>
              <w:suppressAutoHyphens w:val="0"/>
              <w:autoSpaceDN/>
              <w:spacing w:before="60" w:after="120" w:line="240" w:lineRule="auto"/>
              <w:ind w:left="57" w:right="57"/>
              <w:rPr>
                <w:rFonts w:cs="Arial"/>
                <w:iCs/>
                <w:color w:val="0070C0"/>
              </w:rPr>
            </w:pPr>
            <w:hyperlink r:id="rId8" w:history="1">
              <w:r w:rsidR="0040383A" w:rsidRPr="0040383A">
                <w:rPr>
                  <w:color w:val="0070C0"/>
                  <w:u w:val="single"/>
                </w:rPr>
                <w:t>Maths_guidance_KS_1_and_2.pdf (publishing.service.gov.uk)</w:t>
              </w:r>
            </w:hyperlink>
          </w:p>
          <w:p w14:paraId="08FB1CC8" w14:textId="77777777" w:rsidR="0040383A" w:rsidRPr="0040383A" w:rsidRDefault="0040383A" w:rsidP="0040383A">
            <w:pPr>
              <w:suppressAutoHyphens w:val="0"/>
              <w:autoSpaceDN/>
              <w:spacing w:before="120" w:after="60" w:line="240" w:lineRule="auto"/>
              <w:ind w:left="57" w:right="57"/>
              <w:rPr>
                <w:rFonts w:cs="Arial"/>
                <w:color w:val="auto"/>
              </w:rPr>
            </w:pPr>
            <w:r w:rsidRPr="0040383A">
              <w:rPr>
                <w:rFonts w:cs="Arial"/>
                <w:color w:val="auto"/>
              </w:rPr>
              <w:t xml:space="preserve">The EEF guidance is based on a range of the best available evidence: </w:t>
            </w:r>
          </w:p>
          <w:p w14:paraId="248BD6A3" w14:textId="77777777" w:rsidR="0040383A" w:rsidRPr="0040383A" w:rsidRDefault="00AC2323" w:rsidP="0040383A">
            <w:pPr>
              <w:suppressAutoHyphens w:val="0"/>
              <w:autoSpaceDN/>
              <w:spacing w:before="60" w:after="120" w:line="240" w:lineRule="auto"/>
              <w:ind w:left="57" w:right="57"/>
              <w:rPr>
                <w:rFonts w:cs="Arial"/>
                <w:color w:val="auto"/>
                <w:u w:val="single"/>
              </w:rPr>
            </w:pPr>
            <w:hyperlink r:id="rId9" w:history="1">
              <w:r w:rsidR="0040383A" w:rsidRPr="0040383A">
                <w:rPr>
                  <w:rFonts w:cs="Arial"/>
                  <w:color w:val="0070C0"/>
                  <w:u w:val="single"/>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B5E49D" w14:textId="77777777" w:rsidR="0040383A" w:rsidRPr="0040383A" w:rsidRDefault="0040383A" w:rsidP="0040383A">
            <w:pPr>
              <w:spacing w:before="60" w:after="60" w:line="240" w:lineRule="auto"/>
              <w:ind w:left="57" w:right="57"/>
              <w:rPr>
                <w:color w:val="auto"/>
              </w:rPr>
            </w:pPr>
            <w:r w:rsidRPr="0040383A">
              <w:rPr>
                <w:color w:val="auto"/>
              </w:rPr>
              <w:t>3</w:t>
            </w:r>
          </w:p>
        </w:tc>
      </w:tr>
      <w:tr w:rsidR="0040383A" w:rsidRPr="0040383A" w14:paraId="3D1DB42D" w14:textId="77777777" w:rsidTr="003D771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2C035" w14:textId="77777777" w:rsidR="0040383A" w:rsidRPr="0040383A" w:rsidRDefault="0040383A" w:rsidP="0040383A">
            <w:pPr>
              <w:suppressAutoHyphens w:val="0"/>
              <w:autoSpaceDN/>
              <w:spacing w:before="60" w:after="0" w:line="240" w:lineRule="auto"/>
              <w:ind w:left="29"/>
              <w:rPr>
                <w:rFonts w:cs="Arial"/>
                <w:iCs/>
                <w:color w:val="auto"/>
                <w:lang w:val="en-US" w:eastAsia="en-US"/>
              </w:rPr>
            </w:pPr>
            <w:r w:rsidRPr="0040383A">
              <w:rPr>
                <w:rFonts w:cs="Arial"/>
                <w:iCs/>
                <w:color w:val="auto"/>
                <w:lang w:val="en-US" w:eastAsia="en-US"/>
              </w:rPr>
              <w:t>Improve the quality of social and emotional (SEL) learning.</w:t>
            </w:r>
          </w:p>
          <w:p w14:paraId="7B249D13" w14:textId="77777777" w:rsidR="0040383A" w:rsidRPr="0040383A" w:rsidRDefault="0040383A" w:rsidP="0040383A">
            <w:pPr>
              <w:suppressAutoHyphens w:val="0"/>
              <w:autoSpaceDN/>
              <w:spacing w:after="0" w:line="240" w:lineRule="auto"/>
              <w:rPr>
                <w:rFonts w:cs="Arial"/>
                <w:iCs/>
                <w:color w:val="auto"/>
                <w:lang w:val="en-US" w:eastAsia="en-US"/>
              </w:rPr>
            </w:pPr>
          </w:p>
          <w:p w14:paraId="46AACA5A" w14:textId="77777777" w:rsidR="0040383A" w:rsidRPr="0040383A" w:rsidRDefault="0040383A" w:rsidP="0040383A">
            <w:pPr>
              <w:suppressAutoHyphens w:val="0"/>
              <w:autoSpaceDN/>
              <w:spacing w:line="240" w:lineRule="auto"/>
              <w:rPr>
                <w:rFonts w:cs="Arial"/>
                <w:iCs/>
                <w:color w:val="auto"/>
                <w:lang w:val="en-US" w:eastAsia="en-US"/>
              </w:rPr>
            </w:pPr>
            <w:r w:rsidRPr="0040383A">
              <w:rPr>
                <w:rFonts w:cs="Arial"/>
                <w:iCs/>
                <w:color w:val="auto"/>
                <w:lang w:val="en-US" w:eastAsia="en-US"/>
              </w:rPr>
              <w:t>SEL approaches will be embedded into routine educational practices and supported by professional development and training for staff.</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1C0A1" w14:textId="77777777" w:rsidR="0040383A" w:rsidRPr="0040383A" w:rsidRDefault="0040383A" w:rsidP="0040383A">
            <w:pPr>
              <w:spacing w:before="60" w:after="60" w:line="240" w:lineRule="auto"/>
              <w:ind w:left="57" w:right="57"/>
              <w:rPr>
                <w:rFonts w:cs="Arial"/>
                <w:color w:val="auto"/>
              </w:rPr>
            </w:pPr>
            <w:r w:rsidRPr="0040383A">
              <w:rPr>
                <w:rFonts w:cs="Arial"/>
                <w:color w:val="auto"/>
              </w:rPr>
              <w:t>There is extensive evidence associating childhood social and emotional skills with improved outcomes at school and in later life (e.g., improved academic performance, attitudes, behaviour and relationships with peers):</w:t>
            </w:r>
          </w:p>
          <w:p w14:paraId="26E7A37A" w14:textId="77777777" w:rsidR="0040383A" w:rsidRPr="0040383A" w:rsidRDefault="00AC2323" w:rsidP="0040383A">
            <w:pPr>
              <w:spacing w:before="60" w:after="120" w:line="240" w:lineRule="auto"/>
              <w:ind w:left="57" w:right="57"/>
              <w:rPr>
                <w:color w:val="auto"/>
              </w:rPr>
            </w:pPr>
            <w:hyperlink r:id="rId10" w:history="1">
              <w:r w:rsidR="0040383A" w:rsidRPr="0040383A">
                <w:rPr>
                  <w:color w:val="0070C0"/>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7741A2" w14:textId="77777777" w:rsidR="0040383A" w:rsidRPr="0040383A" w:rsidRDefault="0040383A" w:rsidP="0040383A">
            <w:pPr>
              <w:spacing w:before="60" w:after="60" w:line="240" w:lineRule="auto"/>
              <w:ind w:left="57" w:right="57"/>
              <w:rPr>
                <w:color w:val="auto"/>
                <w:highlight w:val="yellow"/>
              </w:rPr>
            </w:pPr>
            <w:r w:rsidRPr="0040383A">
              <w:rPr>
                <w:color w:val="auto"/>
              </w:rPr>
              <w:t>5</w:t>
            </w:r>
          </w:p>
        </w:tc>
      </w:tr>
    </w:tbl>
    <w:p w14:paraId="38F92579" w14:textId="77777777" w:rsidR="0040383A" w:rsidRDefault="0040383A"/>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72739A5" w:rsidR="00E66558" w:rsidRDefault="009D71E8">
      <w:r>
        <w:t xml:space="preserve">Budgeted cost: £ </w:t>
      </w:r>
      <w:r w:rsidR="0040383A">
        <w:rPr>
          <w:i/>
          <w:iCs/>
        </w:rPr>
        <w:t>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0383A"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2F9E97B" w:rsidR="0040383A" w:rsidRPr="0040383A" w:rsidRDefault="0040383A" w:rsidP="0040383A">
            <w:pPr>
              <w:pStyle w:val="TableRow"/>
            </w:pPr>
            <w:r w:rsidRPr="00E27862">
              <w:rPr>
                <w:rFonts w:cs="Arial"/>
                <w:iCs/>
                <w:color w:val="auto"/>
                <w:lang w:val="en-US"/>
              </w:rPr>
              <w:t>Engaging with the National Tutoring Pro-</w:t>
            </w:r>
            <w:proofErr w:type="spellStart"/>
            <w:r w:rsidRPr="00E27862">
              <w:rPr>
                <w:rFonts w:cs="Arial"/>
                <w:iCs/>
                <w:color w:val="auto"/>
                <w:lang w:val="en-US"/>
              </w:rPr>
              <w:t>gramme</w:t>
            </w:r>
            <w:proofErr w:type="spellEnd"/>
            <w:r w:rsidRPr="00E27862">
              <w:rPr>
                <w:rFonts w:cs="Arial"/>
                <w:iCs/>
                <w:color w:val="auto"/>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EDD58" w14:textId="77777777" w:rsidR="0040383A" w:rsidRPr="00E27862" w:rsidRDefault="0040383A" w:rsidP="0040383A">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05FE1B4A" w14:textId="77777777" w:rsidR="0040383A" w:rsidRPr="00094874" w:rsidRDefault="00AC2323" w:rsidP="0040383A">
            <w:pPr>
              <w:suppressAutoHyphens w:val="0"/>
              <w:autoSpaceDN/>
              <w:spacing w:before="60" w:after="60" w:line="240" w:lineRule="auto"/>
              <w:ind w:left="57" w:right="57"/>
              <w:rPr>
                <w:color w:val="0070C0"/>
              </w:rPr>
            </w:pPr>
            <w:hyperlink r:id="rId11" w:history="1">
              <w:r w:rsidR="0040383A" w:rsidRPr="00094874">
                <w:rPr>
                  <w:color w:val="0070C0"/>
                  <w:u w:val="single"/>
                </w:rPr>
                <w:t>One to one tuition | EEF (educationendowmentfoundation.org.uk)</w:t>
              </w:r>
            </w:hyperlink>
          </w:p>
          <w:p w14:paraId="0069A0B5" w14:textId="77777777" w:rsidR="0040383A" w:rsidRPr="00E27862" w:rsidRDefault="0040383A" w:rsidP="0040383A">
            <w:pPr>
              <w:suppressAutoHyphens w:val="0"/>
              <w:autoSpaceDN/>
              <w:spacing w:before="60" w:after="60" w:line="240" w:lineRule="auto"/>
              <w:ind w:left="57" w:right="57"/>
              <w:rPr>
                <w:color w:val="auto"/>
              </w:rPr>
            </w:pPr>
            <w:r w:rsidRPr="00E27862">
              <w:rPr>
                <w:color w:val="auto"/>
              </w:rPr>
              <w:t>And in small groups:</w:t>
            </w:r>
          </w:p>
          <w:p w14:paraId="2A7D552A" w14:textId="6F46E36B" w:rsidR="0040383A" w:rsidRDefault="00AC2323" w:rsidP="0040383A">
            <w:pPr>
              <w:pStyle w:val="TableRowCentered"/>
              <w:jc w:val="left"/>
              <w:rPr>
                <w:sz w:val="22"/>
              </w:rPr>
            </w:pPr>
            <w:hyperlink r:id="rId12" w:history="1">
              <w:r w:rsidR="0040383A" w:rsidRPr="009A7AA4">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1C005CD" w:rsidR="0040383A" w:rsidRDefault="001100B9" w:rsidP="0040383A">
            <w:pPr>
              <w:pStyle w:val="TableRowCentered"/>
              <w:jc w:val="left"/>
              <w:rPr>
                <w:sz w:val="22"/>
              </w:rPr>
            </w:pPr>
            <w:r>
              <w:rPr>
                <w:sz w:val="22"/>
              </w:rPr>
              <w:t>2</w:t>
            </w:r>
          </w:p>
        </w:tc>
      </w:tr>
      <w:tr w:rsidR="0040383A"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40383A" w:rsidRDefault="0040383A" w:rsidP="0040383A">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40383A" w:rsidRDefault="0040383A" w:rsidP="0040383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40383A" w:rsidRDefault="0040383A" w:rsidP="0040383A">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5C4AA4F" w:rsidR="00E66558" w:rsidRDefault="009D71E8">
      <w:pPr>
        <w:spacing w:before="240" w:after="120"/>
      </w:pPr>
      <w:r>
        <w:t xml:space="preserve">Budgeted cost: £ </w:t>
      </w:r>
      <w:r w:rsidR="0040383A">
        <w:rPr>
          <w:i/>
          <w:iCs/>
        </w:rPr>
        <w:t>7,000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40383A"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5C3A0" w14:textId="77777777" w:rsidR="0040383A" w:rsidRPr="00E27862" w:rsidRDefault="0040383A" w:rsidP="0040383A">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13"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2A7D5538" w14:textId="483ECE54" w:rsidR="0040383A" w:rsidRDefault="0040383A" w:rsidP="0040383A">
            <w:pPr>
              <w:pStyle w:val="TableRow"/>
            </w:pPr>
            <w:r w:rsidRPr="00E27862">
              <w:rPr>
                <w:iCs/>
                <w:color w:val="auto"/>
                <w:szCs w:val="28"/>
                <w:lang w:val="en-US"/>
              </w:rPr>
              <w:t xml:space="preserve">This will involve training and release time for staff to develop and implement new procedures and appointing attendance/support officers to improve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C7E5A70" w:rsidR="0040383A" w:rsidRDefault="0040383A" w:rsidP="0040383A">
            <w:pPr>
              <w:pStyle w:val="TableRowCentered"/>
              <w:jc w:val="left"/>
              <w:rPr>
                <w:sz w:val="22"/>
              </w:rPr>
            </w:pPr>
            <w:r w:rsidRPr="00E27862">
              <w:rPr>
                <w:color w:val="auto"/>
              </w:rPr>
              <w:t xml:space="preserve">The DfE guidance has been informed by engagement with schools that have significantly reduced levels of absence and persistent absence.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6604013" w:rsidR="0040383A" w:rsidRDefault="0040383A" w:rsidP="0040383A">
            <w:pPr>
              <w:pStyle w:val="TableRowCentered"/>
              <w:jc w:val="left"/>
              <w:rPr>
                <w:sz w:val="22"/>
              </w:rPr>
            </w:pPr>
            <w:r w:rsidRPr="00E27862">
              <w:rPr>
                <w:color w:val="auto"/>
                <w:sz w:val="22"/>
              </w:rPr>
              <w:t>6</w:t>
            </w:r>
          </w:p>
        </w:tc>
      </w:tr>
      <w:tr w:rsidR="0040383A"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40383A" w:rsidRDefault="0040383A" w:rsidP="0040383A">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40383A" w:rsidRDefault="0040383A" w:rsidP="0040383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40383A" w:rsidRDefault="0040383A" w:rsidP="0040383A">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1025FFB8" w:rsidR="00E66558" w:rsidRDefault="009D71E8" w:rsidP="00120AB1">
      <w:r>
        <w:rPr>
          <w:b/>
          <w:bCs/>
          <w:color w:val="104F75"/>
          <w:sz w:val="28"/>
          <w:szCs w:val="28"/>
        </w:rPr>
        <w:t xml:space="preserve">Total budgeted cost: £ </w:t>
      </w:r>
      <w:r w:rsidR="0040383A">
        <w:rPr>
          <w:i/>
          <w:iCs/>
          <w:color w:val="104F75"/>
          <w:sz w:val="28"/>
          <w:szCs w:val="28"/>
        </w:rPr>
        <w:t>9.725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36C4532" w:rsidR="00E66558" w:rsidRDefault="009D71E8">
      <w:r>
        <w:t>This details the impact that our pupil premium activity had on pupils in the 202</w:t>
      </w:r>
      <w:r w:rsidR="00E1673F">
        <w:t>2</w:t>
      </w:r>
      <w:r>
        <w:t xml:space="preserve"> to 202</w:t>
      </w:r>
      <w:r w:rsidR="000B5267">
        <w:t>4</w:t>
      </w:r>
      <w:r>
        <w:t xml:space="preserve"> academic year</w:t>
      </w:r>
      <w:r w:rsidR="00912E12">
        <w:t>s</w:t>
      </w:r>
      <w:r>
        <w:t xml:space="preserve">.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6306" w14:textId="384C83B0" w:rsidR="0040383A" w:rsidRDefault="0040383A">
            <w:pPr>
              <w:spacing w:before="120"/>
            </w:pPr>
            <w:r>
              <w:t xml:space="preserve">The recovery curriculum enabled pupils to start engaging in </w:t>
            </w:r>
            <w:r w:rsidR="00007A27">
              <w:t>classroom-based</w:t>
            </w:r>
            <w:r>
              <w:t xml:space="preserve"> learning once again. The focus on well being enabled all pupils to access the </w:t>
            </w:r>
            <w:r w:rsidR="00007A27">
              <w:t>accredited</w:t>
            </w:r>
            <w:r>
              <w:t xml:space="preserve"> ‘Relax Kids’ </w:t>
            </w:r>
            <w:r w:rsidR="00007A27">
              <w:t>programme</w:t>
            </w:r>
            <w:r>
              <w:t xml:space="preserve"> to support their resilience and </w:t>
            </w:r>
            <w:r w:rsidR="00007A27">
              <w:t>behaviours for re-engagement.</w:t>
            </w:r>
          </w:p>
          <w:p w14:paraId="188804C5" w14:textId="5BD2167D" w:rsidR="00C53845" w:rsidRDefault="00C53845">
            <w:pPr>
              <w:spacing w:before="120"/>
            </w:pPr>
            <w:r>
              <w:t xml:space="preserve">For our disadvantaged and more vulnerable pupils, an allocated 1:1 mentor has been </w:t>
            </w:r>
            <w:r w:rsidR="001100B9">
              <w:t>assigned</w:t>
            </w:r>
            <w:r>
              <w:t xml:space="preserve"> to develop emotional health a</w:t>
            </w:r>
            <w:r w:rsidR="001100B9">
              <w:t>n</w:t>
            </w:r>
            <w:r>
              <w:t xml:space="preserve">d </w:t>
            </w:r>
            <w:r w:rsidR="001100B9">
              <w:t>well-being</w:t>
            </w:r>
            <w:r>
              <w:t xml:space="preserve"> a</w:t>
            </w:r>
            <w:r w:rsidR="001100B9">
              <w:t>n</w:t>
            </w:r>
            <w:r>
              <w:t>d academic tutoring.</w:t>
            </w:r>
          </w:p>
          <w:p w14:paraId="43691B6B" w14:textId="306E47AA" w:rsidR="001100B9" w:rsidRDefault="001100B9">
            <w:pPr>
              <w:spacing w:before="120"/>
            </w:pPr>
            <w:r>
              <w:t>Progress for all pupils involved has been good across both core and foundation subjects. All pupils have met their personal attainment targets.</w:t>
            </w:r>
          </w:p>
          <w:p w14:paraId="0B87C564" w14:textId="5D43BF96" w:rsidR="001100B9" w:rsidRDefault="001100B9">
            <w:pPr>
              <w:spacing w:before="120"/>
            </w:pPr>
            <w:r>
              <w:t xml:space="preserve">Attendance has improved over the duration of the </w:t>
            </w:r>
            <w:r w:rsidR="00912E12">
              <w:t xml:space="preserve">two </w:t>
            </w:r>
            <w:r>
              <w:t>year</w:t>
            </w:r>
            <w:r w:rsidR="00E87FF6">
              <w:t>- please refer to the case study.</w:t>
            </w:r>
          </w:p>
          <w:p w14:paraId="6F0BF1EA" w14:textId="5A32FDC6" w:rsidR="00C53845" w:rsidRDefault="00E1673F">
            <w:pPr>
              <w:spacing w:before="120"/>
            </w:pPr>
            <w:r>
              <w:t>Please see the individual case studies of pupils eligible for pupil premium.</w:t>
            </w:r>
          </w:p>
          <w:p w14:paraId="2A7D5546" w14:textId="1CCFE8CC" w:rsidR="00E66558" w:rsidRDefault="00E66558"/>
        </w:tc>
      </w:tr>
      <w:bookmarkEnd w:id="15"/>
      <w:bookmarkEnd w:id="16"/>
      <w:bookmarkEnd w:id="17"/>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AC2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C1682A02"/>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A27"/>
    <w:rsid w:val="00066B73"/>
    <w:rsid w:val="000B5267"/>
    <w:rsid w:val="001100B9"/>
    <w:rsid w:val="00120AB1"/>
    <w:rsid w:val="002D4665"/>
    <w:rsid w:val="002D7327"/>
    <w:rsid w:val="003A0C38"/>
    <w:rsid w:val="0040383A"/>
    <w:rsid w:val="004044AA"/>
    <w:rsid w:val="00561459"/>
    <w:rsid w:val="00670324"/>
    <w:rsid w:val="006E7FB1"/>
    <w:rsid w:val="00741B9E"/>
    <w:rsid w:val="007C2F04"/>
    <w:rsid w:val="00912E12"/>
    <w:rsid w:val="00977995"/>
    <w:rsid w:val="009D71E8"/>
    <w:rsid w:val="00A95CAB"/>
    <w:rsid w:val="00AA4201"/>
    <w:rsid w:val="00AC2323"/>
    <w:rsid w:val="00AD4FA8"/>
    <w:rsid w:val="00C53845"/>
    <w:rsid w:val="00D33FE5"/>
    <w:rsid w:val="00E1673F"/>
    <w:rsid w:val="00E66558"/>
    <w:rsid w:val="00E87FF6"/>
    <w:rsid w:val="00F3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7806/Maths_guidance_KS_1_and_2.pdf" TargetMode="External"/><Relationship Id="rId13"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phonics/" TargetMode="External"/><Relationship Id="rId12" Type="http://schemas.openxmlformats.org/officeDocument/2006/relationships/hyperlink" Target="https://educationendowmentfoundation.org.uk/evidence-summaries/teaching-learning-toolkit/small-group-tu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public/files/Publications/SEL/EEF_Social_and_Emotional_Learning.pdf" TargetMode="External"/><Relationship Id="rId4" Type="http://schemas.openxmlformats.org/officeDocument/2006/relationships/webSettings" Target="webSettings.xml"/><Relationship Id="rId9" Type="http://schemas.openxmlformats.org/officeDocument/2006/relationships/hyperlink" Target="https://educationendowmentfoundation.org.uk/public/files/Publications/Maths/KS2_KS3_Maths_Guidance_201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Leavening Primary Head</cp:lastModifiedBy>
  <cp:revision>3</cp:revision>
  <cp:lastPrinted>2014-09-17T13:26:00Z</cp:lastPrinted>
  <dcterms:created xsi:type="dcterms:W3CDTF">2024-06-11T09:27:00Z</dcterms:created>
  <dcterms:modified xsi:type="dcterms:W3CDTF">2024-06-11T09:28:00Z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