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color w:val="002060"/>
          <w:sz w:val="20"/>
          <w:szCs w:val="20"/>
          <w:lang w:eastAsia="en-GB"/>
        </w:rPr>
        <w:t>LEAVENING COMMUNITY PRIMARY SCHOOL ACCESSIBILITY PLAN 2022</w:t>
      </w:r>
      <w:bookmarkStart w:id="0" w:name="_GoBack"/>
      <w:bookmarkEnd w:id="0"/>
      <w:r w:rsidRPr="005F309D">
        <w:rPr>
          <w:rFonts w:ascii="Arial" w:eastAsia="Times New Roman" w:hAnsi="Arial" w:cs="Arial"/>
          <w:b/>
          <w:color w:val="002060"/>
          <w:sz w:val="20"/>
          <w:szCs w:val="20"/>
          <w:lang w:eastAsia="en-GB"/>
        </w:rPr>
        <w:t xml:space="preserve">-25                                                                                                            </w:t>
      </w:r>
      <w:r w:rsidRPr="005F309D">
        <w:rPr>
          <w:rFonts w:ascii="Comic Sans MS" w:eastAsia="Times New Roman" w:hAnsi="Comic Sans MS" w:cs="Times New Roman"/>
          <w:noProof/>
          <w:sz w:val="24"/>
          <w:szCs w:val="24"/>
          <w:lang w:eastAsia="en-GB"/>
        </w:rPr>
        <w:drawing>
          <wp:inline distT="0" distB="0" distL="0" distR="0">
            <wp:extent cx="1390650" cy="923925"/>
            <wp:effectExtent l="0" t="0" r="0" b="9525"/>
            <wp:docPr id="1" name="Picture 1" descr="LPS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PS_Logo_20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923925"/>
                    </a:xfrm>
                    <a:prstGeom prst="rect">
                      <a:avLst/>
                    </a:prstGeom>
                    <a:noFill/>
                    <a:ln>
                      <a:noFill/>
                    </a:ln>
                  </pic:spPr>
                </pic:pic>
              </a:graphicData>
            </a:graphic>
          </wp:inline>
        </w:drawing>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Target:</w:t>
      </w:r>
      <w:r w:rsidRPr="005F309D">
        <w:rPr>
          <w:rFonts w:ascii="Arial" w:eastAsia="Times New Roman" w:hAnsi="Arial" w:cs="Arial"/>
          <w:noProof/>
          <w:sz w:val="20"/>
          <w:szCs w:val="20"/>
          <w:lang w:eastAsia="en-GB"/>
        </w:rPr>
        <w:t xml:space="preserve"> </w:t>
      </w:r>
    </w:p>
    <w:p w:rsidR="005F309D" w:rsidRPr="005F309D" w:rsidRDefault="005F309D" w:rsidP="005F309D">
      <w:pPr>
        <w:numPr>
          <w:ilvl w:val="0"/>
          <w:numId w:val="3"/>
        </w:numPr>
        <w:spacing w:after="0" w:line="240" w:lineRule="auto"/>
        <w:contextualSpacing/>
        <w:rPr>
          <w:rFonts w:ascii="Arial" w:eastAsia="Calibri" w:hAnsi="Arial" w:cs="Arial"/>
          <w:sz w:val="20"/>
          <w:szCs w:val="20"/>
        </w:rPr>
      </w:pPr>
      <w:r w:rsidRPr="005F309D">
        <w:rPr>
          <w:rFonts w:ascii="Arial" w:eastAsia="Calibri" w:hAnsi="Arial" w:cs="Arial"/>
          <w:sz w:val="20"/>
          <w:szCs w:val="20"/>
        </w:rPr>
        <w:t>Improve pupil access to curriculum (long term)</w:t>
      </w:r>
    </w:p>
    <w:p w:rsidR="005F309D" w:rsidRPr="005F309D" w:rsidRDefault="005F309D" w:rsidP="005F309D">
      <w:pPr>
        <w:numPr>
          <w:ilvl w:val="0"/>
          <w:numId w:val="3"/>
        </w:numPr>
        <w:spacing w:after="0" w:line="240" w:lineRule="auto"/>
        <w:contextualSpacing/>
        <w:rPr>
          <w:rFonts w:ascii="Arial" w:eastAsia="Calibri" w:hAnsi="Arial" w:cs="Arial"/>
          <w:sz w:val="20"/>
          <w:szCs w:val="20"/>
        </w:rPr>
      </w:pPr>
      <w:r w:rsidRPr="005F309D">
        <w:rPr>
          <w:rFonts w:ascii="Arial" w:eastAsia="Calibri" w:hAnsi="Arial" w:cs="Arial"/>
          <w:sz w:val="20"/>
          <w:szCs w:val="20"/>
        </w:rPr>
        <w:t>Improve physical access</w:t>
      </w:r>
    </w:p>
    <w:p w:rsidR="005F309D" w:rsidRPr="005F309D" w:rsidRDefault="005F309D" w:rsidP="005F309D">
      <w:pPr>
        <w:numPr>
          <w:ilvl w:val="0"/>
          <w:numId w:val="3"/>
        </w:numPr>
        <w:spacing w:after="0" w:line="240" w:lineRule="auto"/>
        <w:contextualSpacing/>
        <w:rPr>
          <w:rFonts w:ascii="Arial" w:eastAsia="Calibri" w:hAnsi="Arial" w:cs="Arial"/>
          <w:sz w:val="20"/>
          <w:szCs w:val="20"/>
        </w:rPr>
      </w:pPr>
      <w:r w:rsidRPr="005F309D">
        <w:rPr>
          <w:rFonts w:ascii="Arial" w:eastAsia="Calibri" w:hAnsi="Arial" w:cs="Arial"/>
          <w:sz w:val="20"/>
          <w:szCs w:val="20"/>
        </w:rPr>
        <w:t>Improving the delivery of written communication</w:t>
      </w:r>
    </w:p>
    <w:p w:rsidR="005F309D" w:rsidRPr="005F309D" w:rsidRDefault="005F309D" w:rsidP="005F309D">
      <w:pPr>
        <w:spacing w:after="200" w:line="276" w:lineRule="auto"/>
        <w:ind w:left="360"/>
        <w:contextualSpacing/>
        <w:rPr>
          <w:rFonts w:ascii="Arial" w:eastAsia="Calibri" w:hAnsi="Arial" w:cs="Arial"/>
          <w:sz w:val="20"/>
          <w:szCs w:val="20"/>
        </w:rPr>
      </w:pPr>
    </w:p>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Success criteria:</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All staff confident and consistent in range of differentiation strategies and use of alternative recording.</w:t>
      </w:r>
      <w:r w:rsidRPr="005F309D">
        <w:rPr>
          <w:rFonts w:ascii="Arial" w:eastAsia="Times New Roman" w:hAnsi="Arial" w:cs="Arial"/>
          <w:noProof/>
          <w:sz w:val="20"/>
          <w:szCs w:val="20"/>
          <w:lang w:eastAsia="en-GB"/>
        </w:rPr>
        <w:t xml:space="preserve"> </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Disabled children confident and able to participate equally in out of school activities.</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All staff work from a disability equality perspective.</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Increased confidence of staff in developing their curriculum area accessibly.</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Improved involvement of TAs in planning and evaluation of lessons.</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Improve quality of provision for children with specific SEND</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Ensure access is safe and available for all visitors, staff and pupils.</w:t>
      </w:r>
    </w:p>
    <w:p w:rsidR="005F309D" w:rsidRPr="005F309D" w:rsidRDefault="005F309D" w:rsidP="005F309D">
      <w:pPr>
        <w:numPr>
          <w:ilvl w:val="0"/>
          <w:numId w:val="1"/>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Improve use of alternative formats for written communication</w:t>
      </w:r>
    </w:p>
    <w:p w:rsidR="005F309D" w:rsidRPr="005F309D" w:rsidRDefault="005F309D" w:rsidP="005F309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442"/>
        <w:gridCol w:w="1402"/>
        <w:gridCol w:w="1403"/>
        <w:gridCol w:w="1496"/>
        <w:gridCol w:w="1387"/>
        <w:gridCol w:w="2287"/>
      </w:tblGrid>
      <w:tr w:rsidR="005F309D" w:rsidRPr="005F309D" w:rsidTr="00D62B35">
        <w:tc>
          <w:tcPr>
            <w:tcW w:w="5211"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Actions to achieve the success criteria</w:t>
            </w:r>
          </w:p>
          <w:p w:rsidR="005F309D" w:rsidRPr="005F309D" w:rsidRDefault="005F309D" w:rsidP="005F309D">
            <w:pPr>
              <w:spacing w:after="0" w:line="240" w:lineRule="auto"/>
              <w:rPr>
                <w:rFonts w:ascii="Arial" w:eastAsia="Times New Roman" w:hAnsi="Arial" w:cs="Arial"/>
                <w:b/>
                <w:sz w:val="20"/>
                <w:szCs w:val="20"/>
                <w:lang w:eastAsia="en-GB"/>
              </w:rPr>
            </w:pPr>
          </w:p>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IMPROVE ACCESS TO THE CURRICULUM</w:t>
            </w:r>
          </w:p>
        </w:tc>
        <w:tc>
          <w:tcPr>
            <w:tcW w:w="1442"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Persons responsible</w:t>
            </w:r>
          </w:p>
        </w:tc>
        <w:tc>
          <w:tcPr>
            <w:tcW w:w="1402"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Start date</w:t>
            </w:r>
          </w:p>
        </w:tc>
        <w:tc>
          <w:tcPr>
            <w:tcW w:w="1403"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Finish date</w:t>
            </w:r>
          </w:p>
        </w:tc>
        <w:tc>
          <w:tcPr>
            <w:tcW w:w="1496"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Costs borne by the school</w:t>
            </w:r>
          </w:p>
        </w:tc>
        <w:tc>
          <w:tcPr>
            <w:tcW w:w="1387"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Monitoring Person and Method</w:t>
            </w:r>
          </w:p>
        </w:tc>
        <w:tc>
          <w:tcPr>
            <w:tcW w:w="2287"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Notes on progress</w:t>
            </w:r>
          </w:p>
        </w:tc>
      </w:tr>
      <w:tr w:rsidR="005F309D" w:rsidRPr="005F309D" w:rsidTr="00D62B35">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To ensure a consistent approach to differentiation and alternative recording in school, review school policy with to reflect good practice guidance.</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roofErr w:type="spellStart"/>
            <w:r w:rsidRPr="005F309D">
              <w:rPr>
                <w:rFonts w:ascii="Arial" w:eastAsia="Times New Roman" w:hAnsi="Arial" w:cs="Arial"/>
                <w:sz w:val="20"/>
                <w:szCs w:val="20"/>
                <w:lang w:eastAsia="en-GB"/>
              </w:rPr>
              <w:t>SENCo</w:t>
            </w:r>
            <w:proofErr w:type="spellEnd"/>
          </w:p>
          <w:p w:rsidR="005F309D" w:rsidRPr="005F309D" w:rsidRDefault="005F309D" w:rsidP="005F309D">
            <w:pPr>
              <w:spacing w:after="0" w:line="240" w:lineRule="auto"/>
              <w:rPr>
                <w:rFonts w:ascii="Arial" w:eastAsia="Times New Roman" w:hAnsi="Arial" w:cs="Arial"/>
                <w:sz w:val="20"/>
                <w:szCs w:val="20"/>
                <w:lang w:eastAsia="en-GB"/>
              </w:rPr>
            </w:pP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September 2023</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By July 2025</w:t>
            </w:r>
          </w:p>
          <w:p w:rsidR="005F309D" w:rsidRPr="005F309D" w:rsidRDefault="005F309D" w:rsidP="005F309D">
            <w:pPr>
              <w:spacing w:after="0" w:line="240" w:lineRule="auto"/>
              <w:rPr>
                <w:rFonts w:ascii="Arial" w:eastAsia="Times New Roman" w:hAnsi="Arial" w:cs="Arial"/>
                <w:sz w:val="20"/>
                <w:szCs w:val="20"/>
                <w:lang w:eastAsia="en-GB"/>
              </w:rPr>
            </w:pP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FGB meeting time</w:t>
            </w: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Introduction of Clicker 8 and training on the use of mind maps</w:t>
            </w: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Ensure all staff have undertaken disability equality training by reviewing policy and discussing school practices.</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roofErr w:type="spellStart"/>
            <w:r w:rsidRPr="005F309D">
              <w:rPr>
                <w:rFonts w:ascii="Arial" w:eastAsia="Times New Roman" w:hAnsi="Arial" w:cs="Arial"/>
                <w:sz w:val="20"/>
                <w:szCs w:val="20"/>
                <w:lang w:eastAsia="en-GB"/>
              </w:rPr>
              <w:t>SENCo</w:t>
            </w:r>
            <w:proofErr w:type="spellEnd"/>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November 2022</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 with new staff</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Staff meeting time</w:t>
            </w: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Done</w:t>
            </w: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Staff have signed to say they have read the policy</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lastRenderedPageBreak/>
              <w:t>Develop links with specialist teachers through NYES SEN team to improve understanding of approach and strategies.</w:t>
            </w:r>
          </w:p>
          <w:p w:rsidR="005F309D" w:rsidRPr="005F309D" w:rsidRDefault="005F309D" w:rsidP="005F309D">
            <w:pPr>
              <w:numPr>
                <w:ilvl w:val="0"/>
                <w:numId w:val="2"/>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Organise opportunities for staff to discuss personalised approaches with the SEN team through pupil referrals.</w:t>
            </w:r>
          </w:p>
          <w:p w:rsidR="005F309D" w:rsidRPr="005F309D" w:rsidRDefault="005F309D" w:rsidP="005F309D">
            <w:pPr>
              <w:numPr>
                <w:ilvl w:val="0"/>
                <w:numId w:val="2"/>
              </w:num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Establish training meetings for whole school staff if needed</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roofErr w:type="spellStart"/>
            <w:r w:rsidRPr="005F309D">
              <w:rPr>
                <w:rFonts w:ascii="Arial" w:eastAsia="Times New Roman" w:hAnsi="Arial" w:cs="Arial"/>
                <w:sz w:val="20"/>
                <w:szCs w:val="20"/>
                <w:lang w:eastAsia="en-GB"/>
              </w:rPr>
              <w:t>SENCo</w:t>
            </w:r>
            <w:proofErr w:type="spellEnd"/>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roofErr w:type="spellStart"/>
            <w:r w:rsidRPr="005F309D">
              <w:rPr>
                <w:rFonts w:ascii="Arial" w:eastAsia="Times New Roman" w:hAnsi="Arial" w:cs="Arial"/>
                <w:sz w:val="20"/>
                <w:szCs w:val="20"/>
                <w:lang w:eastAsia="en-GB"/>
              </w:rPr>
              <w:t>SENCo</w:t>
            </w:r>
            <w:proofErr w:type="spellEnd"/>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Non-contact time where necessary.</w:t>
            </w: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As above.</w:t>
            </w:r>
          </w:p>
        </w:tc>
        <w:tc>
          <w:tcPr>
            <w:tcW w:w="1387" w:type="dxa"/>
          </w:tcPr>
          <w:p w:rsidR="005F309D" w:rsidRPr="005F309D" w:rsidRDefault="005F309D" w:rsidP="005F309D">
            <w:pPr>
              <w:spacing w:after="0" w:line="240" w:lineRule="auto"/>
              <w:rPr>
                <w:rFonts w:ascii="Arial" w:eastAsia="Times New Roman" w:hAnsi="Arial" w:cs="Arial"/>
                <w:sz w:val="20"/>
                <w:szCs w:val="20"/>
              </w:rPr>
            </w:pPr>
            <w:r w:rsidRPr="005F309D">
              <w:rPr>
                <w:rFonts w:ascii="Arial" w:eastAsia="Times New Roman" w:hAnsi="Arial" w:cs="Arial"/>
                <w:sz w:val="20"/>
                <w:szCs w:val="20"/>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Specialist teachers from the ASC inclusion hub have worked at school all year to support with different pupils with SEND</w:t>
            </w: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Develop system for involving TAs in quality curriculum delivery - Establish joint TA/teacher observations and evaluations as part of usual monitoring procedures.</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Carry out shallow dives on individual SEND pupils to see how the whole curriculum meets their needs.</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roofErr w:type="spellStart"/>
            <w:r w:rsidRPr="005F309D">
              <w:rPr>
                <w:rFonts w:ascii="Arial" w:eastAsia="Times New Roman" w:hAnsi="Arial" w:cs="Arial"/>
                <w:sz w:val="20"/>
                <w:szCs w:val="20"/>
                <w:lang w:eastAsia="en-GB"/>
              </w:rPr>
              <w:t>SENCo</w:t>
            </w:r>
            <w:proofErr w:type="spellEnd"/>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From Sept 2023</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Review effectiveness July 2024</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Continue in the 2024-25 academic year</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Non-contact time for feedback</w:t>
            </w: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Monitoring with a focus on inclusion in the spring term.</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Link Governor for SEND regularly monitors the progress of pupils with SEND and their curriculum journey.</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Ofsted have observed provision for pupils with SEND to be a strength of the school ( November 2023)</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SENCO is leading on the ‘SEND Champion Programme’ funded by the DFE to self-evaluate and improve teaching and learning, pupil outcomes for and use of resources for pupils with SEND.</w:t>
            </w: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Regular meetings with parents of pupil with SEND (in addition to parents’ evenings) every half term to discuss the ILPP</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Class teachers</w:t>
            </w: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From September 2024</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none</w:t>
            </w: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These occur each half term to share the pupils ILLPP and progress towards.</w:t>
            </w: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Continue to provide CPD to staff and monito the pedagogy around encouraging independence for pupils with SEND. Continuing with the work started on the SEND Champion Programme through Path Finder during 2023-24.</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roofErr w:type="spellStart"/>
            <w:r w:rsidRPr="005F309D">
              <w:rPr>
                <w:rFonts w:ascii="Arial" w:eastAsia="Times New Roman" w:hAnsi="Arial" w:cs="Arial"/>
                <w:sz w:val="20"/>
                <w:szCs w:val="20"/>
                <w:lang w:eastAsia="en-GB"/>
              </w:rPr>
              <w:t>SENCo</w:t>
            </w:r>
            <w:proofErr w:type="spellEnd"/>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From September 2023</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IMPROVE PHYSICAL ACCESS</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Provide a safe tranquil space for all pupils</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Class teachers</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1:1 GTA SEN</w:t>
            </w: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September 2024</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resources</w:t>
            </w: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The learning zone and sensory garden offers this space.</w:t>
            </w: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Provide a sensory space for all pupils with ASD to support regulation.</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Class teachers</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1:1 GTA SEN</w:t>
            </w: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September 2023</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resources</w:t>
            </w: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Designated Governor  and HT</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The sensory garden is a positive space for all pupils and staff to access.</w:t>
            </w:r>
          </w:p>
          <w:p w:rsidR="005F309D" w:rsidRPr="005F309D" w:rsidRDefault="005F309D" w:rsidP="005F309D">
            <w:pPr>
              <w:spacing w:after="0" w:line="240" w:lineRule="auto"/>
              <w:rPr>
                <w:rFonts w:ascii="Arial" w:eastAsia="Times New Roman" w:hAnsi="Arial" w:cs="Arial"/>
                <w:sz w:val="20"/>
                <w:szCs w:val="20"/>
                <w:lang w:eastAsia="en-GB"/>
              </w:rPr>
            </w:pPr>
          </w:p>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The learning zone provides a sensory area.</w:t>
            </w: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b/>
                <w:sz w:val="20"/>
                <w:szCs w:val="20"/>
                <w:lang w:eastAsia="en-GB"/>
              </w:rPr>
            </w:pPr>
            <w:r w:rsidRPr="005F309D">
              <w:rPr>
                <w:rFonts w:ascii="Arial" w:eastAsia="Times New Roman" w:hAnsi="Arial" w:cs="Arial"/>
                <w:b/>
                <w:sz w:val="20"/>
                <w:szCs w:val="20"/>
                <w:lang w:eastAsia="en-GB"/>
              </w:rPr>
              <w:t>IMPROVING THE DELIVERY OF WRITTEN COMMUNICATOION/INFORMATION</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p>
        </w:tc>
      </w:tr>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bookmarkStart w:id="1" w:name="_Hlk121299464"/>
            <w:r w:rsidRPr="005F309D">
              <w:rPr>
                <w:rFonts w:ascii="Arial" w:eastAsia="Times New Roman" w:hAnsi="Arial" w:cs="Arial"/>
                <w:sz w:val="20"/>
                <w:szCs w:val="20"/>
                <w:lang w:eastAsia="en-GB"/>
              </w:rPr>
              <w:t xml:space="preserve">Website up to date and compliant. </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Admin</w:t>
            </w: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September 2024</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HT and admin</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Checked</w:t>
            </w:r>
          </w:p>
        </w:tc>
      </w:tr>
      <w:bookmarkEnd w:id="1"/>
      <w:tr w:rsidR="005F309D" w:rsidRPr="005F309D" w:rsidTr="00D62B35">
        <w:trPr>
          <w:cantSplit/>
        </w:trPr>
        <w:tc>
          <w:tcPr>
            <w:tcW w:w="5211"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Improve use of alternative formats for written communication by accessing (when appropriate) alternative means for converting written/paper based information into alternative formats- draw on LA services available.</w:t>
            </w:r>
          </w:p>
        </w:tc>
        <w:tc>
          <w:tcPr>
            <w:tcW w:w="144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Admin</w:t>
            </w:r>
          </w:p>
        </w:tc>
        <w:tc>
          <w:tcPr>
            <w:tcW w:w="1402"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September 2024</w:t>
            </w:r>
          </w:p>
        </w:tc>
        <w:tc>
          <w:tcPr>
            <w:tcW w:w="1403"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ongoing</w:t>
            </w:r>
          </w:p>
        </w:tc>
        <w:tc>
          <w:tcPr>
            <w:tcW w:w="1496" w:type="dxa"/>
          </w:tcPr>
          <w:p w:rsidR="005F309D" w:rsidRPr="005F309D" w:rsidRDefault="005F309D" w:rsidP="005F309D">
            <w:pPr>
              <w:spacing w:after="0" w:line="240" w:lineRule="auto"/>
              <w:rPr>
                <w:rFonts w:ascii="Arial" w:eastAsia="Times New Roman" w:hAnsi="Arial" w:cs="Arial"/>
                <w:sz w:val="20"/>
                <w:szCs w:val="20"/>
                <w:lang w:eastAsia="en-GB"/>
              </w:rPr>
            </w:pPr>
          </w:p>
        </w:tc>
        <w:tc>
          <w:tcPr>
            <w:tcW w:w="1387" w:type="dxa"/>
          </w:tcPr>
          <w:p w:rsidR="005F309D" w:rsidRPr="005F309D" w:rsidRDefault="005F309D" w:rsidP="005F309D">
            <w:pPr>
              <w:spacing w:after="0" w:line="240" w:lineRule="auto"/>
              <w:rPr>
                <w:rFonts w:ascii="Arial" w:eastAsia="Times New Roman" w:hAnsi="Arial" w:cs="Arial"/>
                <w:sz w:val="20"/>
                <w:szCs w:val="20"/>
                <w:lang w:eastAsia="en-GB"/>
              </w:rPr>
            </w:pPr>
            <w:r w:rsidRPr="005F309D">
              <w:rPr>
                <w:rFonts w:ascii="Arial" w:eastAsia="Times New Roman" w:hAnsi="Arial" w:cs="Arial"/>
                <w:sz w:val="20"/>
                <w:szCs w:val="20"/>
                <w:lang w:eastAsia="en-GB"/>
              </w:rPr>
              <w:t>HT and admin</w:t>
            </w:r>
          </w:p>
        </w:tc>
        <w:tc>
          <w:tcPr>
            <w:tcW w:w="2287" w:type="dxa"/>
          </w:tcPr>
          <w:p w:rsidR="005F309D" w:rsidRPr="005F309D" w:rsidRDefault="005F309D" w:rsidP="005F309D">
            <w:pPr>
              <w:spacing w:after="0" w:line="240" w:lineRule="auto"/>
              <w:rPr>
                <w:rFonts w:ascii="Arial" w:eastAsia="Times New Roman" w:hAnsi="Arial" w:cs="Arial"/>
                <w:sz w:val="20"/>
                <w:szCs w:val="20"/>
                <w:lang w:eastAsia="en-GB"/>
              </w:rPr>
            </w:pPr>
          </w:p>
        </w:tc>
      </w:tr>
    </w:tbl>
    <w:p w:rsidR="005F309D" w:rsidRPr="005F309D" w:rsidRDefault="005F309D" w:rsidP="005F309D">
      <w:pPr>
        <w:spacing w:after="0" w:line="240" w:lineRule="auto"/>
        <w:rPr>
          <w:rFonts w:ascii="Comic Sans MS" w:eastAsia="Times New Roman" w:hAnsi="Comic Sans MS" w:cs="Times New Roman"/>
          <w:sz w:val="24"/>
          <w:szCs w:val="24"/>
          <w:lang w:eastAsia="en-GB"/>
        </w:rPr>
      </w:pPr>
      <w:r w:rsidRPr="005F309D">
        <w:rPr>
          <w:rFonts w:ascii="Arial" w:eastAsia="Times New Roman" w:hAnsi="Arial" w:cs="Arial"/>
          <w:sz w:val="16"/>
          <w:szCs w:val="16"/>
          <w:lang w:eastAsia="en-GB"/>
        </w:rPr>
        <w:t xml:space="preserve">Additional actions to be agreed and recorded above based upon individual need/response to issues arising. </w:t>
      </w:r>
    </w:p>
    <w:p w:rsidR="005F309D" w:rsidRPr="005F309D" w:rsidRDefault="005F309D" w:rsidP="005F309D">
      <w:pPr>
        <w:spacing w:after="0" w:line="240" w:lineRule="auto"/>
        <w:rPr>
          <w:rFonts w:ascii="Arial" w:eastAsia="Times New Roman" w:hAnsi="Arial" w:cs="Arial"/>
          <w:sz w:val="20"/>
          <w:szCs w:val="20"/>
          <w:lang w:eastAsia="en-GB"/>
        </w:rPr>
      </w:pPr>
    </w:p>
    <w:p w:rsidR="0054088C" w:rsidRDefault="0054088C"/>
    <w:sectPr w:rsidR="0054088C" w:rsidSect="00931C3B">
      <w:footerReference w:type="default" r:id="rId6"/>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EE0" w:rsidRDefault="005F309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7096125</wp:posOffset>
              </wp:positionV>
              <wp:extent cx="10692130" cy="273685"/>
              <wp:effectExtent l="0" t="0" r="4445" b="2540"/>
              <wp:wrapNone/>
              <wp:docPr id="2" name="Text Box 2" descr="{&quot;HashCode&quot;:455321412,&quot;Height&quot;:595.0,&quot;Width&quot;:841.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21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EE0" w:rsidRPr="00193EE0" w:rsidRDefault="005F309D" w:rsidP="00193EE0">
                          <w:pPr>
                            <w:jc w:val="center"/>
                            <w:rPr>
                              <w:rFonts w:ascii="Calibri" w:hAnsi="Calibri" w:cs="Calibri"/>
                              <w:color w:val="FF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455321412,&quot;Height&quot;:595.0,&quot;Width&quot;:841.0,&quot;Placement&quot;:&quot;Footer&quot;,&quot;Index&quot;:&quot;Primary&quot;,&quot;Section&quot;:1,&quot;Top&quot;:0.0,&quot;Left&quot;:0.0}" style="position:absolute;margin-left:0;margin-top:558.75pt;width:841.9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" o:allowincell="f" filled="f" stroked="f">
              <v:textbox inset=",0,,0">
                <w:txbxContent>
                  <w:p w:rsidR="00193EE0" w:rsidRPr="00193EE0" w:rsidRDefault="005F309D" w:rsidP="00193EE0">
                    <w:pPr>
                      <w:jc w:val="center"/>
                      <w:rPr>
                        <w:rFonts w:ascii="Calibri" w:hAnsi="Calibri" w:cs="Calibri"/>
                        <w:color w:val="FF0000"/>
                        <w:sz w:val="20"/>
                      </w:rPr>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CC9"/>
    <w:multiLevelType w:val="hybridMultilevel"/>
    <w:tmpl w:val="47AAB838"/>
    <w:lvl w:ilvl="0" w:tplc="FBDCB5F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A55B5"/>
    <w:multiLevelType w:val="hybridMultilevel"/>
    <w:tmpl w:val="8070B90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687540"/>
    <w:multiLevelType w:val="hybridMultilevel"/>
    <w:tmpl w:val="E070AFBE"/>
    <w:lvl w:ilvl="0" w:tplc="45E02160">
      <w:start w:val="1"/>
      <w:numFmt w:val="none"/>
      <w:lvlText w:val="-"/>
      <w:lvlJc w:val="left"/>
      <w:pPr>
        <w:tabs>
          <w:tab w:val="num" w:pos="360"/>
        </w:tabs>
        <w:ind w:left="360" w:hanging="360"/>
      </w:pPr>
      <w:rPr>
        <w:rFonts w:ascii="Courier New" w:hAnsi="Courier New"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9D"/>
    <w:rsid w:val="0054088C"/>
    <w:rsid w:val="005F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421478-4CA0-4AF6-81F1-27708FA8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309D"/>
    <w:pPr>
      <w:tabs>
        <w:tab w:val="center" w:pos="4513"/>
        <w:tab w:val="right" w:pos="9026"/>
      </w:tabs>
      <w:spacing w:after="0" w:line="240" w:lineRule="auto"/>
    </w:pPr>
    <w:rPr>
      <w:rFonts w:ascii="Comic Sans MS" w:eastAsia="Times New Roman" w:hAnsi="Comic Sans MS" w:cs="Times New Roman"/>
      <w:sz w:val="24"/>
      <w:szCs w:val="24"/>
      <w:lang w:eastAsia="en-GB"/>
    </w:rPr>
  </w:style>
  <w:style w:type="character" w:customStyle="1" w:styleId="FooterChar">
    <w:name w:val="Footer Char"/>
    <w:basedOn w:val="DefaultParagraphFont"/>
    <w:link w:val="Footer"/>
    <w:uiPriority w:val="99"/>
    <w:rsid w:val="005F309D"/>
    <w:rPr>
      <w:rFonts w:ascii="Comic Sans MS" w:eastAsia="Times New Roman" w:hAnsi="Comic Sans M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Leavening Primary Head</dc:creator>
  <cp:keywords/>
  <dc:description/>
  <cp:lastModifiedBy>Leavening Primary Head</cp:lastModifiedBy>
  <cp:revision>1</cp:revision>
  <dcterms:created xsi:type="dcterms:W3CDTF">2024-06-25T15:17:00Z</dcterms:created>
  <dcterms:modified xsi:type="dcterms:W3CDTF">2024-06-25T15:18:00Z</dcterms:modified>
</cp:coreProperties>
</file>